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791BB" w14:textId="5F94BA1D" w:rsidR="003D7D7E" w:rsidRPr="003D7D7E" w:rsidRDefault="003D7D7E" w:rsidP="003D7D7E">
      <w:pPr>
        <w:rPr>
          <w:b/>
          <w:bCs/>
        </w:rPr>
      </w:pPr>
      <w:r w:rsidRPr="003D7D7E">
        <w:rPr>
          <w:b/>
          <w:bCs/>
        </w:rPr>
        <w:t>PGIM and Dakota Pacific Real Estate Close on Joint Venture to Develop Six-Building Class A Industrial Park in Salt Lake City’s Northwest Quadrant</w:t>
      </w:r>
    </w:p>
    <w:p w14:paraId="122E9EFC" w14:textId="5F4AFFCD" w:rsidR="003D7D7E" w:rsidRPr="003D7D7E" w:rsidRDefault="003D7D7E" w:rsidP="003D7D7E">
      <w:r w:rsidRPr="003D7D7E">
        <w:rPr>
          <w:b/>
          <w:bCs/>
        </w:rPr>
        <w:t xml:space="preserve">Salt Lake City, Utah — </w:t>
      </w:r>
      <w:r w:rsidR="00720340">
        <w:rPr>
          <w:b/>
          <w:bCs/>
        </w:rPr>
        <w:t>January 5</w:t>
      </w:r>
      <w:r w:rsidRPr="003D7D7E">
        <w:rPr>
          <w:b/>
          <w:bCs/>
        </w:rPr>
        <w:t>, 202</w:t>
      </w:r>
      <w:r w:rsidR="00720340">
        <w:rPr>
          <w:b/>
          <w:bCs/>
        </w:rPr>
        <w:t>6</w:t>
      </w:r>
      <w:r w:rsidRPr="003D7D7E">
        <w:t xml:space="preserve"> — PGIM</w:t>
      </w:r>
      <w:r w:rsidR="00C76E6B">
        <w:t xml:space="preserve"> </w:t>
      </w:r>
      <w:r w:rsidRPr="003D7D7E">
        <w:t xml:space="preserve">and Dakota Pacific Real Estate (DPRE) </w:t>
      </w:r>
      <w:r w:rsidR="00246E38" w:rsidRPr="00246E38">
        <w:t>today announced the December 17 closing of a new joint venture</w:t>
      </w:r>
      <w:r w:rsidRPr="003D7D7E">
        <w:t xml:space="preserve"> and the acquisition of two industrial land parcels located near Bangerter Highway along California Avenue and 4400 West in Salt Lake City’s Northwest Quadrant and Inland Port.</w:t>
      </w:r>
    </w:p>
    <w:p w14:paraId="2195DA2D" w14:textId="2ADD9DD0" w:rsidR="003D7D7E" w:rsidRPr="003D7D7E" w:rsidRDefault="003D7D7E" w:rsidP="003D7D7E">
      <w:r w:rsidRPr="003D7D7E">
        <w:t>The venture will immediately commence construction on a six-building</w:t>
      </w:r>
      <w:r w:rsidR="5F0AAB46">
        <w:t>,</w:t>
      </w:r>
      <w:r w:rsidRPr="003D7D7E">
        <w:t xml:space="preserve"> Class A </w:t>
      </w:r>
      <w:r w:rsidR="0A666A69">
        <w:t xml:space="preserve">spec </w:t>
      </w:r>
      <w:r>
        <w:t xml:space="preserve">industrial </w:t>
      </w:r>
      <w:r w:rsidRPr="003D7D7E">
        <w:t>development totaling nearly 450,000 square feet, including dedicated yard space. The project is designed as modern small- and mid-bay industrial product, targeting a broad range of logistics, manufacturing, service, and distribution users in one of the region’s most supply-constrained submarkets. Initial deliveries are anticipated in early 2027.</w:t>
      </w:r>
    </w:p>
    <w:p w14:paraId="7FB2CCBC" w14:textId="214E909A" w:rsidR="003D7D7E" w:rsidRPr="003D7D7E" w:rsidRDefault="007C1BFF" w:rsidP="003D7D7E">
      <w:r w:rsidRPr="007C1BFF">
        <w:t>The land transaction was facilitated by Newmark, led by Kyle Roberts and Ben Richardson on behalf of the seller, along with Lucas Burbank on behalf of the buyer. Newmark will also oversee leasing efforts, led by Lucas Burbank and Kelsie Akiyama</w:t>
      </w:r>
      <w:r w:rsidR="003D7D7E" w:rsidRPr="003D7D7E">
        <w:t>. Big-D Construction has been selected as general contractor and will manage construction of the project. The development is financed by JPMorgan Chase Bank, N.A.</w:t>
      </w:r>
    </w:p>
    <w:p w14:paraId="09655504" w14:textId="77777777" w:rsidR="003D7D7E" w:rsidRPr="003D7D7E" w:rsidRDefault="003D7D7E" w:rsidP="003D7D7E">
      <w:r w:rsidRPr="003D7D7E">
        <w:t>Salt Lake City’s Northwest Quadrant continues to experience strong tenant demand driven by its central location, proximity to regional transportation infrastructure, and limited availability of new Class A industrial space. Vacancy across comparable small- and mid-bay industrial product remains historically low, reinforcing the venture’s conviction in speculative development at this scale and location.</w:t>
      </w:r>
    </w:p>
    <w:p w14:paraId="0F7B32BA" w14:textId="52DDBC6C" w:rsidR="003D7D7E" w:rsidRPr="003D7D7E" w:rsidRDefault="003D7D7E" w:rsidP="003D7D7E">
      <w:r>
        <w:t>“This project reflects our strong conviction in Salt Lake City and the long-term fundamentals supporting small- and mid-bay industrial product</w:t>
      </w:r>
      <w:r w:rsidR="3EEBECA1">
        <w:t xml:space="preserve"> in this market</w:t>
      </w:r>
      <w:r>
        <w:t xml:space="preserve">,” said Brian Dilley, Managing Director of Dakota Pacific Real Estate. “We’re excited to partner with </w:t>
      </w:r>
      <w:r w:rsidR="754E1246">
        <w:t xml:space="preserve">such a marquee firm as </w:t>
      </w:r>
      <w:r>
        <w:t>PGIM on a development that meets real tenant demand, offers flexible configurations, and delivers modern Class A space in a market where supply has struggled to keep pace.”</w:t>
      </w:r>
    </w:p>
    <w:p w14:paraId="0455CCDC" w14:textId="5779C9AC" w:rsidR="003D7D7E" w:rsidRPr="003D7D7E" w:rsidRDefault="003D7D7E" w:rsidP="003D7D7E">
      <w:r>
        <w:t xml:space="preserve">“This investment aligns with our strategy of deploying capital into </w:t>
      </w:r>
      <w:r w:rsidR="00C76E6B">
        <w:t xml:space="preserve">what we view as </w:t>
      </w:r>
      <w:r>
        <w:t>high-quality industrial developments in infill and logistics-oriented markets with durable demand drivers,” said</w:t>
      </w:r>
      <w:r w:rsidR="00C76E6B">
        <w:t xml:space="preserve"> Soultana Reigle, Head of US Equity for </w:t>
      </w:r>
      <w:r>
        <w:t>PGIM</w:t>
      </w:r>
      <w:r w:rsidR="00C76E6B">
        <w:t>’s r</w:t>
      </w:r>
      <w:r>
        <w:t xml:space="preserve">eal </w:t>
      </w:r>
      <w:r w:rsidR="00C76E6B">
        <w:t>e</w:t>
      </w:r>
      <w:r>
        <w:t>state</w:t>
      </w:r>
      <w:r w:rsidR="00C76E6B">
        <w:t xml:space="preserve"> business</w:t>
      </w:r>
      <w:r>
        <w:t>. “We value Dakota Pacific’s operating expertise and local market knowledge, and we believe this project is well positioned given its scale, asset type, and location within the Inland Port.”</w:t>
      </w:r>
    </w:p>
    <w:p w14:paraId="6AA0CBBE" w14:textId="5DA23328" w:rsidR="003D7D7E" w:rsidRDefault="003D7D7E">
      <w:pPr>
        <w:pBdr>
          <w:bottom w:val="single" w:sz="6" w:space="1" w:color="auto"/>
        </w:pBdr>
      </w:pPr>
      <w:r>
        <w:t>Construction will begin immediately</w:t>
      </w:r>
      <w:r w:rsidR="05D84328">
        <w:t xml:space="preserve"> with estimated construction completion in </w:t>
      </w:r>
      <w:r w:rsidR="4AB46A08">
        <w:t xml:space="preserve">Q2 2027. </w:t>
      </w:r>
      <w:r>
        <w:t xml:space="preserve">Newmark </w:t>
      </w:r>
      <w:r w:rsidR="645DE31A">
        <w:t xml:space="preserve">has begun </w:t>
      </w:r>
      <w:r>
        <w:t>actively marketing the project to prospective tenants</w:t>
      </w:r>
      <w:r w:rsidR="00C76E6B">
        <w:t xml:space="preserve"> </w:t>
      </w:r>
      <w:r>
        <w:t xml:space="preserve">seeking efficient, modern industrial space with access to Salt Lake City’s </w:t>
      </w:r>
      <w:r w:rsidR="073617CA">
        <w:t xml:space="preserve">deep employment base and </w:t>
      </w:r>
      <w:r>
        <w:t>core transportation corridors.</w:t>
      </w:r>
      <w:r w:rsidR="30846471">
        <w:t xml:space="preserve"> </w:t>
      </w:r>
    </w:p>
    <w:p w14:paraId="2C59FAC0" w14:textId="77777777" w:rsidR="003D7D7E" w:rsidRPr="003D7D7E" w:rsidRDefault="003D7D7E" w:rsidP="003D7D7E">
      <w:pPr>
        <w:pBdr>
          <w:bottom w:val="single" w:sz="6" w:space="1" w:color="auto"/>
        </w:pBdr>
      </w:pPr>
    </w:p>
    <w:p w14:paraId="551AE602" w14:textId="77777777" w:rsidR="003D7D7E" w:rsidRPr="003D7D7E" w:rsidRDefault="003D7D7E" w:rsidP="003D7D7E"/>
    <w:p w14:paraId="0055679F" w14:textId="77777777" w:rsidR="003D7D7E" w:rsidRPr="003D7D7E" w:rsidRDefault="003D7D7E" w:rsidP="003D7D7E">
      <w:pPr>
        <w:rPr>
          <w:b/>
          <w:bCs/>
        </w:rPr>
      </w:pPr>
      <w:r w:rsidRPr="003D7D7E">
        <w:rPr>
          <w:b/>
          <w:bCs/>
        </w:rPr>
        <w:t>About Dakota Pacific Real Estate</w:t>
      </w:r>
    </w:p>
    <w:p w14:paraId="4862A142" w14:textId="44FE6881" w:rsidR="00526752" w:rsidRDefault="00964DEC" w:rsidP="00705F90">
      <w:r w:rsidRPr="00964DEC">
        <w:t xml:space="preserve">Dakota Pacific Real Estate (DPRE) is a </w:t>
      </w:r>
      <w:r w:rsidR="00F66922" w:rsidRPr="00964DEC">
        <w:t>privately held</w:t>
      </w:r>
      <w:r w:rsidRPr="00964DEC">
        <w:t xml:space="preserve"> real estate development and investment firm focused on serving the dynamic multifamily residential, industrial and commercial real estate needs of the thriving Intermountain West.  DPRE's industrial investing targets acquisitions and ground-up development with an emphasis on small- and mid-bay projects leveraging deep local knowledge and hands-on execution.</w:t>
      </w:r>
    </w:p>
    <w:p w14:paraId="6ECFFC34" w14:textId="77777777" w:rsidR="001D63B7" w:rsidRDefault="001D63B7" w:rsidP="00705F90"/>
    <w:p w14:paraId="270B407C" w14:textId="34099626" w:rsidR="00C76E6B" w:rsidRDefault="003D7D7E" w:rsidP="0098416C">
      <w:pPr>
        <w:rPr>
          <w:rFonts w:ascii="Calibri" w:eastAsia="Calibri" w:hAnsi="Calibri" w:cs="Calibri"/>
          <w:b/>
          <w:bCs/>
          <w:sz w:val="22"/>
          <w:szCs w:val="22"/>
        </w:rPr>
      </w:pPr>
      <w:r w:rsidRPr="003D7D7E">
        <w:rPr>
          <w:b/>
          <w:bCs/>
        </w:rPr>
        <w:t xml:space="preserve">About PGIM </w:t>
      </w:r>
    </w:p>
    <w:p w14:paraId="75B5ADD5" w14:textId="77777777" w:rsidR="00C76E6B" w:rsidRPr="0098416C" w:rsidRDefault="00C76E6B" w:rsidP="00C76E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Calibri"/>
          <w:kern w:val="0"/>
        </w:rPr>
      </w:pPr>
      <w:r w:rsidRPr="0098416C">
        <w:rPr>
          <w:rFonts w:cs="Calibri"/>
          <w:kern w:val="0"/>
        </w:rPr>
        <w:t>PGIM, the global asset management business of Prudential Financial, Inc. (NYSE: PRU) is built on a 150-year legacy of strength, stability, and disciplined risk management through more than 30 market cycles. Managing more than $1.44 trillion in assets,</w:t>
      </w:r>
      <w:r w:rsidRPr="0098416C">
        <w:rPr>
          <w:rStyle w:val="FootnoteReference"/>
          <w:rFonts w:cs="Calibri"/>
          <w:kern w:val="0"/>
        </w:rPr>
        <w:footnoteReference w:id="1"/>
      </w:r>
      <w:r w:rsidRPr="0098416C">
        <w:rPr>
          <w:rFonts w:cs="Calibri"/>
          <w:kern w:val="0"/>
        </w:rPr>
        <w:t xml:space="preserve"> PGIM offers clients deep expertise across public and private asset classes, delivering a diverse range of investment strategies and tailored solutions — including fixed income, equities, real estate and other retail investment vehicles. With 1,450+ investment professionals across 42 offices in 19 countries, we serve retail and institutional clients worldwide. For more information visit pgim.com. </w:t>
      </w:r>
    </w:p>
    <w:p w14:paraId="55DACDF2" w14:textId="77777777" w:rsidR="00C76E6B" w:rsidRPr="0098416C" w:rsidRDefault="00C76E6B" w:rsidP="00C76E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Calibri"/>
          <w:kern w:val="0"/>
        </w:rPr>
      </w:pPr>
    </w:p>
    <w:p w14:paraId="461BA9A3" w14:textId="77777777" w:rsidR="00C76E6B" w:rsidRPr="0098416C" w:rsidRDefault="00C76E6B" w:rsidP="00C76E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Calibri"/>
          <w:kern w:val="0"/>
        </w:rPr>
      </w:pPr>
      <w:r w:rsidRPr="0098416C">
        <w:rPr>
          <w:rFonts w:cs="Calibri"/>
          <w:kern w:val="0"/>
        </w:rPr>
        <w:t>PGIM’s real estate business is the world’s third-largest real estate investment manager, with $213 billion in gross assets under management and administration,</w:t>
      </w:r>
      <w:r w:rsidRPr="0098416C">
        <w:rPr>
          <w:rStyle w:val="FootnoteReference"/>
          <w:rFonts w:cs="Calibri"/>
          <w:kern w:val="0"/>
        </w:rPr>
        <w:footnoteReference w:id="2"/>
      </w:r>
      <w:r w:rsidRPr="0098416C">
        <w:rPr>
          <w:rFonts w:cs="Calibri"/>
          <w:kern w:val="0"/>
        </w:rPr>
        <w:t xml:space="preserve"> and real estate professionals located in 30+ cities worldwide. Through our full suite of real estate equity and debt solutions, we aim to achieve exceptional outcomes on behalf of investors and borrowers. Our uncompromising commitment to building lasting relationships with our clients is founded on trust, transparency, and mutual respect.</w:t>
      </w:r>
    </w:p>
    <w:p w14:paraId="2E479B32" w14:textId="77777777" w:rsidR="00C76E6B" w:rsidRPr="0098416C" w:rsidRDefault="00C76E6B" w:rsidP="00C76E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Calibri"/>
          <w:kern w:val="0"/>
        </w:rPr>
      </w:pPr>
    </w:p>
    <w:p w14:paraId="0C19A3DC" w14:textId="77777777" w:rsidR="00C76E6B" w:rsidRPr="0098416C" w:rsidRDefault="00C76E6B" w:rsidP="00C76E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Calibri"/>
          <w:kern w:val="0"/>
        </w:rPr>
      </w:pPr>
      <w:r w:rsidRPr="0098416C">
        <w:rPr>
          <w:rFonts w:cs="Calibri"/>
          <w:kern w:val="0"/>
        </w:rPr>
        <w:t>Prudential Financial, Inc. (PFI) of the United States is not affiliated in any manner with Prudential plc, incorporated in the United Kingdom, or with Prudential Assurance Company, a subsidiary of M&amp;G plc, incorporated in the United Kingdom. For more information please visit news.prudential.com.</w:t>
      </w:r>
    </w:p>
    <w:p w14:paraId="4EAFE877" w14:textId="77777777" w:rsidR="00C76E6B" w:rsidRPr="0098416C" w:rsidRDefault="00C76E6B" w:rsidP="00C76E6B">
      <w:pPr>
        <w:spacing w:after="0" w:line="240" w:lineRule="auto"/>
        <w:jc w:val="center"/>
        <w:rPr>
          <w:rFonts w:eastAsia="Calibri" w:cs="Calibri"/>
        </w:rPr>
      </w:pPr>
    </w:p>
    <w:p w14:paraId="317A9111" w14:textId="77777777" w:rsidR="00C76E6B" w:rsidRPr="00C76E6B" w:rsidRDefault="00C76E6B" w:rsidP="003D7D7E"/>
    <w:p w14:paraId="00081E61" w14:textId="77777777" w:rsidR="00C76E6B" w:rsidRDefault="00C76E6B" w:rsidP="003D7D7E"/>
    <w:p w14:paraId="5D3362F6" w14:textId="77777777" w:rsidR="00D32746" w:rsidRDefault="00D32746"/>
    <w:sectPr w:rsidR="00D32746" w:rsidSect="00F66922">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E790A" w14:textId="77777777" w:rsidR="00A247B0" w:rsidRDefault="00A247B0" w:rsidP="00C76E6B">
      <w:pPr>
        <w:spacing w:after="0" w:line="240" w:lineRule="auto"/>
      </w:pPr>
      <w:r>
        <w:separator/>
      </w:r>
    </w:p>
  </w:endnote>
  <w:endnote w:type="continuationSeparator" w:id="0">
    <w:p w14:paraId="23276EEF" w14:textId="77777777" w:rsidR="00A247B0" w:rsidRDefault="00A247B0" w:rsidP="00C76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5907C" w14:textId="77777777" w:rsidR="00A247B0" w:rsidRDefault="00A247B0" w:rsidP="00C76E6B">
      <w:pPr>
        <w:spacing w:after="0" w:line="240" w:lineRule="auto"/>
      </w:pPr>
      <w:r>
        <w:separator/>
      </w:r>
    </w:p>
  </w:footnote>
  <w:footnote w:type="continuationSeparator" w:id="0">
    <w:p w14:paraId="0D105682" w14:textId="77777777" w:rsidR="00A247B0" w:rsidRDefault="00A247B0" w:rsidP="00C76E6B">
      <w:pPr>
        <w:spacing w:after="0" w:line="240" w:lineRule="auto"/>
      </w:pPr>
      <w:r>
        <w:continuationSeparator/>
      </w:r>
    </w:p>
  </w:footnote>
  <w:footnote w:id="1">
    <w:p w14:paraId="4D760A40" w14:textId="77777777" w:rsidR="00C76E6B" w:rsidRPr="00591825" w:rsidRDefault="00C76E6B" w:rsidP="00C76E6B">
      <w:pPr>
        <w:pStyle w:val="FootnoteText"/>
        <w:rPr>
          <w:sz w:val="18"/>
          <w:szCs w:val="18"/>
        </w:rPr>
      </w:pPr>
      <w:r>
        <w:rPr>
          <w:rStyle w:val="FootnoteReference"/>
        </w:rPr>
        <w:footnoteRef/>
      </w:r>
      <w:r>
        <w:t xml:space="preserve"> </w:t>
      </w:r>
      <w:r w:rsidRPr="00591825">
        <w:rPr>
          <w:sz w:val="18"/>
          <w:szCs w:val="18"/>
        </w:rPr>
        <w:t>As of June 30, 2025.</w:t>
      </w:r>
    </w:p>
  </w:footnote>
  <w:footnote w:id="2">
    <w:p w14:paraId="44741E1B" w14:textId="77777777" w:rsidR="00C76E6B" w:rsidRDefault="00C76E6B" w:rsidP="00C76E6B">
      <w:pPr>
        <w:pStyle w:val="FootnoteText"/>
      </w:pPr>
      <w:r>
        <w:rPr>
          <w:rStyle w:val="FootnoteReference"/>
        </w:rPr>
        <w:footnoteRef/>
      </w:r>
      <w:r>
        <w:t xml:space="preserve"> </w:t>
      </w:r>
      <w:r w:rsidRPr="00A244C6">
        <w:rPr>
          <w:rFonts w:cs="Times New Roman"/>
          <w:sz w:val="18"/>
          <w:szCs w:val="18"/>
        </w:rPr>
        <w:t xml:space="preserve">As of June 30, 2025. Net AUM is $138 billion and AUA is $47 billion. PGIM Real Estate is the third-largest real estate investment manager (out of 72 firms surveyed) in terms of global real estate assets under management based on </w:t>
      </w:r>
      <w:r w:rsidRPr="00A244C6">
        <w:rPr>
          <w:rFonts w:cs="Times New Roman"/>
          <w:i/>
          <w:iCs/>
          <w:sz w:val="18"/>
          <w:szCs w:val="18"/>
        </w:rPr>
        <w:t>Pensions &amp; Investments</w:t>
      </w:r>
      <w:r w:rsidRPr="00A244C6">
        <w:rPr>
          <w:rFonts w:cs="Times New Roman"/>
          <w:sz w:val="18"/>
          <w:szCs w:val="18"/>
        </w:rPr>
        <w:t>’ “Largest Real Estate Investment Managers” list published October 2024. This ranking represents AUM as of June 30, 2024. Participation in the ranking is voluntary and no compensation is required to participate in the ranking.</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D7E"/>
    <w:rsid w:val="000027E2"/>
    <w:rsid w:val="000033F6"/>
    <w:rsid w:val="000463E5"/>
    <w:rsid w:val="00056299"/>
    <w:rsid w:val="000D4E7F"/>
    <w:rsid w:val="000F778B"/>
    <w:rsid w:val="00111B71"/>
    <w:rsid w:val="00111FC7"/>
    <w:rsid w:val="0011526F"/>
    <w:rsid w:val="001363B2"/>
    <w:rsid w:val="00151981"/>
    <w:rsid w:val="001535A1"/>
    <w:rsid w:val="001C0C50"/>
    <w:rsid w:val="001D63B7"/>
    <w:rsid w:val="00202A3C"/>
    <w:rsid w:val="00246E38"/>
    <w:rsid w:val="00262969"/>
    <w:rsid w:val="002650F9"/>
    <w:rsid w:val="002D1BA2"/>
    <w:rsid w:val="002D77B6"/>
    <w:rsid w:val="0031376B"/>
    <w:rsid w:val="0036258A"/>
    <w:rsid w:val="003D1FC3"/>
    <w:rsid w:val="003D7D7E"/>
    <w:rsid w:val="004477DA"/>
    <w:rsid w:val="00487A59"/>
    <w:rsid w:val="004971F6"/>
    <w:rsid w:val="00526752"/>
    <w:rsid w:val="005329CB"/>
    <w:rsid w:val="005960C0"/>
    <w:rsid w:val="005A34D1"/>
    <w:rsid w:val="005E4C61"/>
    <w:rsid w:val="00606937"/>
    <w:rsid w:val="006143B3"/>
    <w:rsid w:val="00615E62"/>
    <w:rsid w:val="00623827"/>
    <w:rsid w:val="00624ACD"/>
    <w:rsid w:val="006D1B9E"/>
    <w:rsid w:val="006D70DF"/>
    <w:rsid w:val="00705F90"/>
    <w:rsid w:val="00720340"/>
    <w:rsid w:val="0077301D"/>
    <w:rsid w:val="0079480E"/>
    <w:rsid w:val="007C1BFF"/>
    <w:rsid w:val="007D6920"/>
    <w:rsid w:val="00800CDB"/>
    <w:rsid w:val="008219F2"/>
    <w:rsid w:val="00823C2A"/>
    <w:rsid w:val="008B612D"/>
    <w:rsid w:val="008F1422"/>
    <w:rsid w:val="0092400B"/>
    <w:rsid w:val="0095281C"/>
    <w:rsid w:val="00964DEC"/>
    <w:rsid w:val="0098416C"/>
    <w:rsid w:val="00984917"/>
    <w:rsid w:val="00994F31"/>
    <w:rsid w:val="00995062"/>
    <w:rsid w:val="009B750E"/>
    <w:rsid w:val="00A01491"/>
    <w:rsid w:val="00A11C51"/>
    <w:rsid w:val="00A2044B"/>
    <w:rsid w:val="00A21C11"/>
    <w:rsid w:val="00A247B0"/>
    <w:rsid w:val="00AD347F"/>
    <w:rsid w:val="00B07B6A"/>
    <w:rsid w:val="00B23067"/>
    <w:rsid w:val="00B62592"/>
    <w:rsid w:val="00B82B98"/>
    <w:rsid w:val="00B95A09"/>
    <w:rsid w:val="00BA2480"/>
    <w:rsid w:val="00BA76AF"/>
    <w:rsid w:val="00BD4F57"/>
    <w:rsid w:val="00BF0050"/>
    <w:rsid w:val="00BF3DE1"/>
    <w:rsid w:val="00C43EA6"/>
    <w:rsid w:val="00C7452F"/>
    <w:rsid w:val="00C76E6B"/>
    <w:rsid w:val="00CA1CC1"/>
    <w:rsid w:val="00CB2EE7"/>
    <w:rsid w:val="00D06E08"/>
    <w:rsid w:val="00D17AA3"/>
    <w:rsid w:val="00D32746"/>
    <w:rsid w:val="00D70EAF"/>
    <w:rsid w:val="00DB63C8"/>
    <w:rsid w:val="00DE091D"/>
    <w:rsid w:val="00DE71D0"/>
    <w:rsid w:val="00E61A6C"/>
    <w:rsid w:val="00E62C79"/>
    <w:rsid w:val="00E91D10"/>
    <w:rsid w:val="00EE6364"/>
    <w:rsid w:val="00F0764E"/>
    <w:rsid w:val="00F201A5"/>
    <w:rsid w:val="00F26FA5"/>
    <w:rsid w:val="00F54394"/>
    <w:rsid w:val="00F66922"/>
    <w:rsid w:val="00F75911"/>
    <w:rsid w:val="00FD39E8"/>
    <w:rsid w:val="00FF7FB4"/>
    <w:rsid w:val="05D84328"/>
    <w:rsid w:val="06F44D55"/>
    <w:rsid w:val="073617CA"/>
    <w:rsid w:val="0A4E638F"/>
    <w:rsid w:val="0A666A69"/>
    <w:rsid w:val="0BDA24A3"/>
    <w:rsid w:val="0C66A26F"/>
    <w:rsid w:val="0EA323A2"/>
    <w:rsid w:val="11A9BF06"/>
    <w:rsid w:val="12D3D250"/>
    <w:rsid w:val="14A6558D"/>
    <w:rsid w:val="18AEC4B2"/>
    <w:rsid w:val="190D9BD7"/>
    <w:rsid w:val="19ED10FE"/>
    <w:rsid w:val="1AEE71FC"/>
    <w:rsid w:val="1C924ED5"/>
    <w:rsid w:val="1FD4B9FC"/>
    <w:rsid w:val="20532C35"/>
    <w:rsid w:val="206E634B"/>
    <w:rsid w:val="23116A25"/>
    <w:rsid w:val="250BCB0D"/>
    <w:rsid w:val="256DB5BB"/>
    <w:rsid w:val="25D1E777"/>
    <w:rsid w:val="260B8AD3"/>
    <w:rsid w:val="26868E2D"/>
    <w:rsid w:val="28DCD25A"/>
    <w:rsid w:val="2CDF0E9F"/>
    <w:rsid w:val="2E7DA7D8"/>
    <w:rsid w:val="2EF3DBED"/>
    <w:rsid w:val="30846471"/>
    <w:rsid w:val="3209DEED"/>
    <w:rsid w:val="32C4B8AC"/>
    <w:rsid w:val="3348D343"/>
    <w:rsid w:val="39B99404"/>
    <w:rsid w:val="3C48E420"/>
    <w:rsid w:val="3DF4EF1C"/>
    <w:rsid w:val="3EEBECA1"/>
    <w:rsid w:val="401537AD"/>
    <w:rsid w:val="411FDF19"/>
    <w:rsid w:val="426A3ADE"/>
    <w:rsid w:val="42E06017"/>
    <w:rsid w:val="4598DFDC"/>
    <w:rsid w:val="464A57A5"/>
    <w:rsid w:val="467B62E0"/>
    <w:rsid w:val="48E79792"/>
    <w:rsid w:val="4A05D553"/>
    <w:rsid w:val="4AB46A08"/>
    <w:rsid w:val="4F39E6BE"/>
    <w:rsid w:val="5021211A"/>
    <w:rsid w:val="53AD1DB4"/>
    <w:rsid w:val="54630764"/>
    <w:rsid w:val="555F8EC8"/>
    <w:rsid w:val="56563B84"/>
    <w:rsid w:val="573C3FE8"/>
    <w:rsid w:val="5D0970E8"/>
    <w:rsid w:val="5F0AAB46"/>
    <w:rsid w:val="601E04E3"/>
    <w:rsid w:val="6077BF77"/>
    <w:rsid w:val="609BD4B0"/>
    <w:rsid w:val="62CDDCEC"/>
    <w:rsid w:val="645DE31A"/>
    <w:rsid w:val="659A44C9"/>
    <w:rsid w:val="6700A8D9"/>
    <w:rsid w:val="677E8267"/>
    <w:rsid w:val="692EF75C"/>
    <w:rsid w:val="69941CCF"/>
    <w:rsid w:val="6A6951BB"/>
    <w:rsid w:val="6DCC4CCA"/>
    <w:rsid w:val="6DD25E2E"/>
    <w:rsid w:val="6FCFBFCD"/>
    <w:rsid w:val="708B71B5"/>
    <w:rsid w:val="70E1457F"/>
    <w:rsid w:val="712871F3"/>
    <w:rsid w:val="73AA47EE"/>
    <w:rsid w:val="754E1246"/>
    <w:rsid w:val="76790517"/>
    <w:rsid w:val="786D71C6"/>
    <w:rsid w:val="79EF28B8"/>
    <w:rsid w:val="7B753F6F"/>
    <w:rsid w:val="7C66CF1F"/>
    <w:rsid w:val="7C995DD7"/>
    <w:rsid w:val="7E06DE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9A49E"/>
  <w15:chartTrackingRefBased/>
  <w15:docId w15:val="{C796D8C0-6CD9-4B3C-A430-82897CFDE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7D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D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D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7D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D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D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D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D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D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D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D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D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D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D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D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D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D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D7E"/>
    <w:rPr>
      <w:rFonts w:eastAsiaTheme="majorEastAsia" w:cstheme="majorBidi"/>
      <w:color w:val="272727" w:themeColor="text1" w:themeTint="D8"/>
    </w:rPr>
  </w:style>
  <w:style w:type="paragraph" w:styleId="Title">
    <w:name w:val="Title"/>
    <w:basedOn w:val="Normal"/>
    <w:next w:val="Normal"/>
    <w:link w:val="TitleChar"/>
    <w:uiPriority w:val="10"/>
    <w:qFormat/>
    <w:rsid w:val="003D7D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D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D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D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D7E"/>
    <w:pPr>
      <w:spacing w:before="160"/>
      <w:jc w:val="center"/>
    </w:pPr>
    <w:rPr>
      <w:i/>
      <w:iCs/>
      <w:color w:val="404040" w:themeColor="text1" w:themeTint="BF"/>
    </w:rPr>
  </w:style>
  <w:style w:type="character" w:customStyle="1" w:styleId="QuoteChar">
    <w:name w:val="Quote Char"/>
    <w:basedOn w:val="DefaultParagraphFont"/>
    <w:link w:val="Quote"/>
    <w:uiPriority w:val="29"/>
    <w:rsid w:val="003D7D7E"/>
    <w:rPr>
      <w:i/>
      <w:iCs/>
      <w:color w:val="404040" w:themeColor="text1" w:themeTint="BF"/>
    </w:rPr>
  </w:style>
  <w:style w:type="paragraph" w:styleId="ListParagraph">
    <w:name w:val="List Paragraph"/>
    <w:basedOn w:val="Normal"/>
    <w:uiPriority w:val="34"/>
    <w:qFormat/>
    <w:rsid w:val="003D7D7E"/>
    <w:pPr>
      <w:ind w:left="720"/>
      <w:contextualSpacing/>
    </w:pPr>
  </w:style>
  <w:style w:type="character" w:styleId="IntenseEmphasis">
    <w:name w:val="Intense Emphasis"/>
    <w:basedOn w:val="DefaultParagraphFont"/>
    <w:uiPriority w:val="21"/>
    <w:qFormat/>
    <w:rsid w:val="003D7D7E"/>
    <w:rPr>
      <w:i/>
      <w:iCs/>
      <w:color w:val="0F4761" w:themeColor="accent1" w:themeShade="BF"/>
    </w:rPr>
  </w:style>
  <w:style w:type="paragraph" w:styleId="IntenseQuote">
    <w:name w:val="Intense Quote"/>
    <w:basedOn w:val="Normal"/>
    <w:next w:val="Normal"/>
    <w:link w:val="IntenseQuoteChar"/>
    <w:uiPriority w:val="30"/>
    <w:qFormat/>
    <w:rsid w:val="003D7D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D7E"/>
    <w:rPr>
      <w:i/>
      <w:iCs/>
      <w:color w:val="0F4761" w:themeColor="accent1" w:themeShade="BF"/>
    </w:rPr>
  </w:style>
  <w:style w:type="character" w:styleId="IntenseReference">
    <w:name w:val="Intense Reference"/>
    <w:basedOn w:val="DefaultParagraphFont"/>
    <w:uiPriority w:val="32"/>
    <w:qFormat/>
    <w:rsid w:val="003D7D7E"/>
    <w:rPr>
      <w:b/>
      <w:bCs/>
      <w:smallCaps/>
      <w:color w:val="0F4761" w:themeColor="accent1" w:themeShade="BF"/>
      <w:spacing w:val="5"/>
    </w:rPr>
  </w:style>
  <w:style w:type="paragraph" w:styleId="Revision">
    <w:name w:val="Revision"/>
    <w:hidden/>
    <w:uiPriority w:val="99"/>
    <w:semiHidden/>
    <w:rsid w:val="00606937"/>
    <w:pPr>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FootnoteText">
    <w:name w:val="footnote text"/>
    <w:basedOn w:val="Normal"/>
    <w:link w:val="FootnoteTextChar"/>
    <w:uiPriority w:val="99"/>
    <w:semiHidden/>
    <w:unhideWhenUsed/>
    <w:rsid w:val="00C76E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6E6B"/>
    <w:rPr>
      <w:sz w:val="20"/>
      <w:szCs w:val="20"/>
    </w:rPr>
  </w:style>
  <w:style w:type="character" w:styleId="FootnoteReference">
    <w:name w:val="footnote reference"/>
    <w:basedOn w:val="DefaultParagraphFont"/>
    <w:uiPriority w:val="99"/>
    <w:semiHidden/>
    <w:unhideWhenUsed/>
    <w:rsid w:val="00C76E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926775">
      <w:bodyDiv w:val="1"/>
      <w:marLeft w:val="0"/>
      <w:marRight w:val="0"/>
      <w:marTop w:val="0"/>
      <w:marBottom w:val="0"/>
      <w:divBdr>
        <w:top w:val="none" w:sz="0" w:space="0" w:color="auto"/>
        <w:left w:val="none" w:sz="0" w:space="0" w:color="auto"/>
        <w:bottom w:val="none" w:sz="0" w:space="0" w:color="auto"/>
        <w:right w:val="none" w:sz="0" w:space="0" w:color="auto"/>
      </w:divBdr>
    </w:div>
    <w:div w:id="130026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1F8A23DCD17543A06D50511D86D3BA" ma:contentTypeVersion="18" ma:contentTypeDescription="Create a new document." ma:contentTypeScope="" ma:versionID="9db0f4d348206bb1ac9751d166d2fe6e">
  <xsd:schema xmlns:xsd="http://www.w3.org/2001/XMLSchema" xmlns:xs="http://www.w3.org/2001/XMLSchema" xmlns:p="http://schemas.microsoft.com/office/2006/metadata/properties" xmlns:ns2="f9addede-e7ae-4f91-bcbb-8037779a9a66" xmlns:ns3="fc10b04e-f3ee-47d5-8048-d25bd928ea6b" targetNamespace="http://schemas.microsoft.com/office/2006/metadata/properties" ma:root="true" ma:fieldsID="a332c6382f728a8c647bb716105f7ade" ns2:_="" ns3:_="">
    <xsd:import namespace="f9addede-e7ae-4f91-bcbb-8037779a9a66"/>
    <xsd:import namespace="fc10b04e-f3ee-47d5-8048-d25bd928ea6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addede-e7ae-4f91-bcbb-8037779a9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d5001f-4815-4e87-a485-b36ff3fc39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10b04e-f3ee-47d5-8048-d25bd928ea6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83d52c0-5467-424a-b0a3-21fe299466a8}" ma:internalName="TaxCatchAll" ma:showField="CatchAllData" ma:web="fc10b04e-f3ee-47d5-8048-d25bd928ea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c10b04e-f3ee-47d5-8048-d25bd928ea6b" xsi:nil="true"/>
    <lcf76f155ced4ddcb4097134ff3c332f xmlns="f9addede-e7ae-4f91-bcbb-8037779a9a6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FC36E79-603D-4503-940B-CEDF80C61B48}">
  <ds:schemaRefs>
    <ds:schemaRef ds:uri="http://schemas.microsoft.com/sharepoint/v3/contenttype/forms"/>
  </ds:schemaRefs>
</ds:datastoreItem>
</file>

<file path=customXml/itemProps2.xml><?xml version="1.0" encoding="utf-8"?>
<ds:datastoreItem xmlns:ds="http://schemas.openxmlformats.org/officeDocument/2006/customXml" ds:itemID="{7E015569-F66F-44B8-A529-D5EA434DE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addede-e7ae-4f91-bcbb-8037779a9a66"/>
    <ds:schemaRef ds:uri="fc10b04e-f3ee-47d5-8048-d25bd928e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F3AB6F-51B8-462D-876D-C0A4913137FE}">
  <ds:schemaRefs>
    <ds:schemaRef ds:uri="http://schemas.microsoft.com/office/2006/metadata/properties"/>
    <ds:schemaRef ds:uri="http://schemas.microsoft.com/office/infopath/2007/PartnerControls"/>
    <ds:schemaRef ds:uri="fc10b04e-f3ee-47d5-8048-d25bd928ea6b"/>
    <ds:schemaRef ds:uri="f9addede-e7ae-4f91-bcbb-8037779a9a6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702</Words>
  <Characters>4142</Characters>
  <Application>Microsoft Office Word</Application>
  <DocSecurity>0</DocSecurity>
  <Lines>67</Lines>
  <Paragraphs>16</Paragraphs>
  <ScaleCrop>false</ScaleCrop>
  <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Dilley</dc:creator>
  <cp:keywords/>
  <dc:description/>
  <cp:lastModifiedBy>Brian Dilley</cp:lastModifiedBy>
  <cp:revision>6</cp:revision>
  <dcterms:created xsi:type="dcterms:W3CDTF">2026-01-05T18:42:00Z</dcterms:created>
  <dcterms:modified xsi:type="dcterms:W3CDTF">2026-01-05T21:32:00Z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0x010100861F8A23DCD17543A06D50511D86D3BA</vt:lpwstr>
  </property>
  <property fmtid="{D5CDD505-2E9C-101B-9397-08002B2CF9AE}" pid="3" name="docLang">
    <vt:lpwstr>en</vt:lpwstr>
  </property>
  <property fmtid="{D5CDD505-2E9C-101B-9397-08002B2CF9AE}" pid="4" name="MediaServiceImageTags">
    <vt:lpwstr/>
  </property>
</Properties>
</file>